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2C7A9" w14:textId="77777777" w:rsidR="002358BC" w:rsidRDefault="002358BC" w:rsidP="002358BC">
      <w:pPr>
        <w:pBdr>
          <w:bottom w:val="single" w:sz="12" w:space="6" w:color="C5CDD6"/>
        </w:pBdr>
        <w:spacing w:line="600" w:lineRule="atLeast"/>
        <w:outlineLvl w:val="0"/>
        <w:rPr>
          <w:rFonts w:ascii="Trebuchet MS" w:eastAsia="Times New Roman" w:hAnsi="Trebuchet MS" w:cs="Times New Roman"/>
          <w:bCs/>
          <w:kern w:val="36"/>
          <w:sz w:val="20"/>
          <w:szCs w:val="48"/>
        </w:rPr>
      </w:pPr>
      <w:r w:rsidRPr="002358BC">
        <w:rPr>
          <w:rFonts w:ascii="Trebuchet MS" w:eastAsia="Times New Roman" w:hAnsi="Trebuchet MS" w:cs="Times New Roman"/>
          <w:bCs/>
          <w:kern w:val="36"/>
          <w:szCs w:val="48"/>
        </w:rPr>
        <w:fldChar w:fldCharType="begin"/>
      </w:r>
      <w:r w:rsidRPr="002358BC">
        <w:rPr>
          <w:rFonts w:ascii="Trebuchet MS" w:eastAsia="Times New Roman" w:hAnsi="Trebuchet MS" w:cs="Times New Roman"/>
          <w:bCs/>
          <w:kern w:val="36"/>
          <w:szCs w:val="48"/>
        </w:rPr>
        <w:instrText xml:space="preserve"> HYPERLINK "http://www.thinkib.net/visualarts/page/16479/part-3-the-exhibition" </w:instrText>
      </w:r>
      <w:r w:rsidRPr="002358BC">
        <w:rPr>
          <w:rFonts w:ascii="Trebuchet MS" w:eastAsia="Times New Roman" w:hAnsi="Trebuchet MS" w:cs="Times New Roman"/>
          <w:bCs/>
          <w:kern w:val="36"/>
          <w:szCs w:val="48"/>
        </w:rPr>
      </w:r>
      <w:r w:rsidRPr="002358BC">
        <w:rPr>
          <w:rFonts w:ascii="Trebuchet MS" w:eastAsia="Times New Roman" w:hAnsi="Trebuchet MS" w:cs="Times New Roman"/>
          <w:bCs/>
          <w:kern w:val="36"/>
          <w:szCs w:val="48"/>
        </w:rPr>
        <w:fldChar w:fldCharType="separate"/>
      </w:r>
      <w:r w:rsidRPr="002358BC">
        <w:rPr>
          <w:rStyle w:val="Hyperlink"/>
          <w:rFonts w:ascii="Trebuchet MS" w:eastAsia="Times New Roman" w:hAnsi="Trebuchet MS" w:cs="Times New Roman"/>
          <w:bCs/>
          <w:kern w:val="36"/>
          <w:szCs w:val="48"/>
        </w:rPr>
        <w:t>http://www.thinkib.net/visualarts/page/16479/part-3-the-</w:t>
      </w:r>
      <w:r w:rsidRPr="002358BC">
        <w:rPr>
          <w:rStyle w:val="Hyperlink"/>
          <w:rFonts w:ascii="Trebuchet MS" w:eastAsia="Times New Roman" w:hAnsi="Trebuchet MS" w:cs="Times New Roman"/>
          <w:bCs/>
          <w:kern w:val="36"/>
          <w:sz w:val="20"/>
          <w:szCs w:val="48"/>
        </w:rPr>
        <w:t>e</w:t>
      </w:r>
      <w:r w:rsidRPr="002358BC">
        <w:rPr>
          <w:rStyle w:val="Hyperlink"/>
          <w:rFonts w:ascii="Trebuchet MS" w:eastAsia="Times New Roman" w:hAnsi="Trebuchet MS" w:cs="Times New Roman"/>
          <w:bCs/>
          <w:kern w:val="36"/>
          <w:sz w:val="20"/>
          <w:szCs w:val="48"/>
        </w:rPr>
        <w:t>xhibition</w:t>
      </w:r>
      <w:r w:rsidRPr="002358BC">
        <w:rPr>
          <w:rFonts w:ascii="Trebuchet MS" w:eastAsia="Times New Roman" w:hAnsi="Trebuchet MS" w:cs="Times New Roman"/>
          <w:bCs/>
          <w:kern w:val="36"/>
          <w:sz w:val="20"/>
          <w:szCs w:val="48"/>
        </w:rPr>
        <w:fldChar w:fldCharType="end"/>
      </w:r>
    </w:p>
    <w:p w14:paraId="5502923C" w14:textId="77777777" w:rsidR="002358BC" w:rsidRPr="002358BC" w:rsidRDefault="002358BC" w:rsidP="002358BC">
      <w:pPr>
        <w:pBdr>
          <w:bottom w:val="single" w:sz="12" w:space="6" w:color="C5CDD6"/>
        </w:pBdr>
        <w:spacing w:line="600" w:lineRule="atLeast"/>
        <w:outlineLvl w:val="0"/>
        <w:rPr>
          <w:rFonts w:ascii="Trebuchet MS" w:eastAsia="Times New Roman" w:hAnsi="Trebuchet MS" w:cs="Times New Roman"/>
          <w:b/>
          <w:bCs/>
          <w:kern w:val="36"/>
          <w:sz w:val="48"/>
          <w:szCs w:val="48"/>
        </w:rPr>
      </w:pPr>
      <w:r w:rsidRPr="002358BC">
        <w:rPr>
          <w:rFonts w:ascii="Trebuchet MS" w:eastAsia="Times New Roman" w:hAnsi="Trebuchet MS" w:cs="Times New Roman"/>
          <w:b/>
          <w:bCs/>
          <w:kern w:val="36"/>
          <w:sz w:val="44"/>
          <w:szCs w:val="48"/>
        </w:rPr>
        <w:t>Part</w:t>
      </w:r>
      <w:r w:rsidRPr="002358BC">
        <w:rPr>
          <w:rFonts w:ascii="Trebuchet MS" w:eastAsia="Times New Roman" w:hAnsi="Trebuchet MS" w:cs="Times New Roman"/>
          <w:b/>
          <w:bCs/>
          <w:kern w:val="36"/>
          <w:sz w:val="96"/>
          <w:szCs w:val="48"/>
        </w:rPr>
        <w:t xml:space="preserve"> </w:t>
      </w:r>
      <w:r w:rsidRPr="002358BC">
        <w:rPr>
          <w:rFonts w:ascii="Trebuchet MS" w:eastAsia="Times New Roman" w:hAnsi="Trebuchet MS" w:cs="Times New Roman"/>
          <w:b/>
          <w:bCs/>
          <w:kern w:val="36"/>
          <w:sz w:val="48"/>
          <w:szCs w:val="48"/>
        </w:rPr>
        <w:t>3, The Exhibition</w:t>
      </w:r>
    </w:p>
    <w:p w14:paraId="5EB0DABE" w14:textId="77777777" w:rsidR="002358BC" w:rsidRPr="002358BC" w:rsidRDefault="002358BC" w:rsidP="002358BC">
      <w:pPr>
        <w:numPr>
          <w:ilvl w:val="0"/>
          <w:numId w:val="1"/>
        </w:numPr>
        <w:spacing w:beforeAutospacing="1" w:after="100" w:afterAutospacing="1" w:line="300" w:lineRule="atLeast"/>
        <w:ind w:left="0"/>
        <w:rPr>
          <w:rFonts w:ascii="Times" w:eastAsia="Times New Roman" w:hAnsi="Times" w:cs="Times New Roman"/>
          <w:sz w:val="20"/>
          <w:szCs w:val="20"/>
        </w:rPr>
      </w:pPr>
    </w:p>
    <w:p w14:paraId="41C487C9" w14:textId="77777777" w:rsidR="002358BC" w:rsidRPr="002358BC" w:rsidRDefault="002358BC" w:rsidP="002358BC">
      <w:pPr>
        <w:numPr>
          <w:ilvl w:val="0"/>
          <w:numId w:val="1"/>
        </w:numPr>
        <w:spacing w:beforeAutospacing="1" w:after="100" w:afterAutospacing="1" w:line="300" w:lineRule="atLeast"/>
        <w:ind w:left="0"/>
        <w:rPr>
          <w:rFonts w:ascii="Times" w:eastAsia="Times New Roman" w:hAnsi="Times" w:cs="Times New Roman"/>
          <w:sz w:val="20"/>
          <w:szCs w:val="20"/>
        </w:rPr>
      </w:pPr>
      <w:hyperlink r:id="rId6" w:tooltip="Go to: Overview" w:history="1">
        <w:r w:rsidRPr="002358BC">
          <w:rPr>
            <w:rFonts w:ascii="Times" w:eastAsia="Times New Roman" w:hAnsi="Times" w:cs="Times New Roman"/>
            <w:color w:val="1A457A"/>
            <w:sz w:val="20"/>
            <w:szCs w:val="20"/>
            <w:u w:val="single"/>
          </w:rPr>
          <w:t>Overview</w:t>
        </w:r>
      </w:hyperlink>
    </w:p>
    <w:p w14:paraId="2B99FEEA" w14:textId="77777777" w:rsidR="002358BC" w:rsidRPr="002358BC" w:rsidRDefault="002358BC" w:rsidP="002358BC">
      <w:pPr>
        <w:numPr>
          <w:ilvl w:val="0"/>
          <w:numId w:val="1"/>
        </w:numPr>
        <w:spacing w:beforeAutospacing="1" w:after="100" w:afterAutospacing="1" w:line="300" w:lineRule="atLeast"/>
        <w:ind w:left="0"/>
        <w:rPr>
          <w:rFonts w:ascii="Times" w:eastAsia="Times New Roman" w:hAnsi="Times" w:cs="Times New Roman"/>
          <w:sz w:val="20"/>
          <w:szCs w:val="20"/>
        </w:rPr>
      </w:pPr>
      <w:hyperlink r:id="rId7" w:tooltip="Go to: New Visual Arts Curriculum " w:history="1">
        <w:r w:rsidRPr="002358BC">
          <w:rPr>
            <w:rFonts w:ascii="Times" w:eastAsia="Times New Roman" w:hAnsi="Times" w:cs="Times New Roman"/>
            <w:color w:val="1A457A"/>
            <w:sz w:val="20"/>
            <w:szCs w:val="20"/>
            <w:u w:val="single"/>
          </w:rPr>
          <w:t>New Visual Arts Curriculum</w:t>
        </w:r>
        <w:r w:rsidRPr="002358BC">
          <w:rPr>
            <w:rFonts w:ascii="Times" w:eastAsia="Times New Roman" w:hAnsi="Times" w:cs="Times New Roman"/>
            <w:color w:val="1A457A"/>
            <w:sz w:val="20"/>
            <w:szCs w:val="20"/>
          </w:rPr>
          <w:t> </w:t>
        </w:r>
      </w:hyperlink>
    </w:p>
    <w:p w14:paraId="4DD52921" w14:textId="77777777" w:rsidR="002358BC" w:rsidRPr="002358BC" w:rsidRDefault="002358BC" w:rsidP="002358BC">
      <w:pPr>
        <w:numPr>
          <w:ilvl w:val="0"/>
          <w:numId w:val="1"/>
        </w:numPr>
        <w:spacing w:beforeAutospacing="1" w:after="100" w:afterAutospacing="1" w:line="300" w:lineRule="atLeast"/>
        <w:ind w:left="0"/>
        <w:rPr>
          <w:rFonts w:ascii="Times" w:eastAsia="Times New Roman" w:hAnsi="Times" w:cs="Times New Roman"/>
          <w:sz w:val="20"/>
          <w:szCs w:val="20"/>
        </w:rPr>
      </w:pPr>
      <w:hyperlink r:id="rId8" w:tooltip="Go to: The 3 Course Components" w:history="1">
        <w:r w:rsidRPr="002358BC">
          <w:rPr>
            <w:rFonts w:ascii="Times" w:eastAsia="Times New Roman" w:hAnsi="Times" w:cs="Times New Roman"/>
            <w:color w:val="1A457A"/>
            <w:sz w:val="20"/>
            <w:szCs w:val="20"/>
            <w:u w:val="single"/>
          </w:rPr>
          <w:t>The 3 Course Components</w:t>
        </w:r>
      </w:hyperlink>
    </w:p>
    <w:p w14:paraId="0597B3D4" w14:textId="77777777" w:rsidR="002358BC" w:rsidRPr="002358BC" w:rsidRDefault="002358BC" w:rsidP="002358BC">
      <w:pPr>
        <w:numPr>
          <w:ilvl w:val="0"/>
          <w:numId w:val="1"/>
        </w:numPr>
        <w:spacing w:before="100" w:beforeAutospacing="1" w:after="100" w:afterAutospacing="1" w:line="300" w:lineRule="atLeast"/>
        <w:ind w:left="0"/>
        <w:rPr>
          <w:rFonts w:ascii="Times" w:eastAsia="Times New Roman" w:hAnsi="Times" w:cs="Times New Roman"/>
          <w:sz w:val="20"/>
          <w:szCs w:val="20"/>
        </w:rPr>
      </w:pPr>
      <w:r w:rsidRPr="002358BC">
        <w:rPr>
          <w:rFonts w:ascii="Times" w:eastAsia="Times New Roman" w:hAnsi="Times" w:cs="Times New Roman"/>
          <w:color w:val="777777"/>
          <w:sz w:val="20"/>
          <w:szCs w:val="20"/>
        </w:rPr>
        <w:t>Part 3, The Exhibition</w:t>
      </w:r>
    </w:p>
    <w:p w14:paraId="27DA8184" w14:textId="77777777" w:rsidR="002358BC" w:rsidRPr="002358BC" w:rsidRDefault="002358BC" w:rsidP="002358BC">
      <w:pPr>
        <w:shd w:val="clear" w:color="auto" w:fill="E5EBF0"/>
        <w:rPr>
          <w:rFonts w:ascii="Times" w:hAnsi="Times" w:cs="Times New Roman"/>
          <w:sz w:val="20"/>
          <w:szCs w:val="20"/>
        </w:rPr>
      </w:pPr>
      <w:r w:rsidRPr="002358BC">
        <w:rPr>
          <w:rFonts w:ascii="Times" w:hAnsi="Times" w:cs="Times New Roman"/>
          <w:sz w:val="20"/>
          <w:szCs w:val="20"/>
        </w:rPr>
        <w:t>In the new visual arts curriculum with first exams in 2016, </w:t>
      </w:r>
      <w:r w:rsidRPr="002358BC">
        <w:rPr>
          <w:rFonts w:ascii="Times" w:hAnsi="Times" w:cs="Times New Roman"/>
          <w:b/>
          <w:bCs/>
          <w:sz w:val="20"/>
          <w:szCs w:val="20"/>
        </w:rPr>
        <w:t>Part 3 The Exhibition</w:t>
      </w:r>
      <w:r w:rsidRPr="002358BC">
        <w:rPr>
          <w:rFonts w:ascii="Times" w:hAnsi="Times" w:cs="Times New Roman"/>
          <w:sz w:val="20"/>
          <w:szCs w:val="20"/>
        </w:rPr>
        <w:t> is 40% of final grade.</w:t>
      </w:r>
    </w:p>
    <w:p w14:paraId="04A772F5" w14:textId="77777777" w:rsidR="002358BC" w:rsidRPr="002358BC" w:rsidRDefault="002358BC" w:rsidP="002358BC">
      <w:pPr>
        <w:shd w:val="clear" w:color="auto" w:fill="E5EBF0"/>
        <w:rPr>
          <w:rFonts w:ascii="Times" w:hAnsi="Times" w:cs="Times New Roman"/>
          <w:sz w:val="20"/>
          <w:szCs w:val="20"/>
        </w:rPr>
      </w:pPr>
      <w:r w:rsidRPr="002358BC">
        <w:rPr>
          <w:rFonts w:ascii="Times" w:hAnsi="Times" w:cs="Times New Roman"/>
          <w:sz w:val="20"/>
          <w:szCs w:val="20"/>
        </w:rPr>
        <w:t>This component is</w:t>
      </w:r>
      <w:r w:rsidRPr="002358BC">
        <w:rPr>
          <w:rFonts w:ascii="Times" w:hAnsi="Times" w:cs="Times New Roman"/>
          <w:i/>
          <w:iCs/>
          <w:sz w:val="20"/>
          <w:szCs w:val="20"/>
        </w:rPr>
        <w:t> internally assessed</w:t>
      </w:r>
      <w:r w:rsidRPr="002358BC">
        <w:rPr>
          <w:rFonts w:ascii="Times" w:hAnsi="Times" w:cs="Times New Roman"/>
          <w:sz w:val="20"/>
          <w:szCs w:val="20"/>
        </w:rPr>
        <w:t> by the teacher and externally moderated by an examiner.</w:t>
      </w:r>
    </w:p>
    <w:p w14:paraId="26F1D7DA" w14:textId="77777777" w:rsidR="002358BC" w:rsidRPr="002358BC" w:rsidRDefault="002358BC" w:rsidP="002358BC">
      <w:pPr>
        <w:rPr>
          <w:rFonts w:ascii="Times" w:hAnsi="Times" w:cs="Times New Roman"/>
          <w:sz w:val="20"/>
          <w:szCs w:val="20"/>
        </w:rPr>
      </w:pPr>
      <w:r w:rsidRPr="002358BC">
        <w:rPr>
          <w:rFonts w:ascii="Times" w:hAnsi="Times" w:cs="Times New Roman"/>
          <w:b/>
          <w:bCs/>
          <w:sz w:val="20"/>
          <w:szCs w:val="20"/>
        </w:rPr>
        <w:t>The final exhibition is the culmination of the students' IB Art experience. Students present a selection of their best work in the form of a curated final show, and defend and articulate their purpose and intention in a written rationale.</w:t>
      </w:r>
    </w:p>
    <w:p w14:paraId="26F29E8A" w14:textId="77777777" w:rsidR="002358BC" w:rsidRPr="002358BC" w:rsidRDefault="002358BC" w:rsidP="002358BC">
      <w:pPr>
        <w:rPr>
          <w:rFonts w:ascii="Times" w:hAnsi="Times" w:cs="Times New Roman"/>
          <w:sz w:val="20"/>
          <w:szCs w:val="20"/>
        </w:rPr>
      </w:pPr>
    </w:p>
    <w:p w14:paraId="44B8CD87" w14:textId="77777777" w:rsidR="002358BC" w:rsidRPr="002358BC" w:rsidRDefault="002358BC" w:rsidP="002358BC">
      <w:pPr>
        <w:spacing w:before="300"/>
        <w:rPr>
          <w:rFonts w:ascii="Times" w:eastAsia="Times New Roman" w:hAnsi="Times" w:cs="Times New Roman"/>
          <w:sz w:val="20"/>
          <w:szCs w:val="20"/>
        </w:rPr>
      </w:pPr>
      <w:r w:rsidRPr="002358BC">
        <w:rPr>
          <w:rFonts w:ascii="Times" w:eastAsia="Times New Roman" w:hAnsi="Times" w:cs="Times New Roman"/>
          <w:sz w:val="20"/>
          <w:szCs w:val="20"/>
        </w:rPr>
        <w:pict w14:anchorId="7C5A1B72">
          <v:rect id="_x0000_i1026" style="width:0;height:1.5pt" o:hralign="center" o:hrstd="t" o:hr="t" fillcolor="#aaa" stroked="f"/>
        </w:pict>
      </w:r>
    </w:p>
    <w:p w14:paraId="00B19322" w14:textId="77777777" w:rsidR="0052408D" w:rsidRDefault="0052408D" w:rsidP="002358BC">
      <w:pPr>
        <w:spacing w:before="300" w:after="150" w:line="600" w:lineRule="atLeast"/>
        <w:outlineLvl w:val="2"/>
        <w:rPr>
          <w:rFonts w:ascii="Trebuchet MS" w:eastAsia="Times New Roman" w:hAnsi="Trebuchet MS" w:cs="Times New Roman"/>
          <w:b/>
          <w:bCs/>
          <w:sz w:val="28"/>
          <w:szCs w:val="28"/>
        </w:rPr>
      </w:pPr>
      <w:r>
        <w:rPr>
          <w:rFonts w:ascii="Times" w:hAnsi="Times" w:cs="Times New Roman"/>
          <w:b/>
          <w:bCs/>
          <w:noProof/>
          <w:sz w:val="20"/>
          <w:szCs w:val="20"/>
        </w:rPr>
        <w:drawing>
          <wp:anchor distT="0" distB="0" distL="114300" distR="114300" simplePos="0" relativeHeight="251658240" behindDoc="0" locked="0" layoutInCell="1" allowOverlap="1" wp14:anchorId="27DBD556" wp14:editId="37940475">
            <wp:simplePos x="0" y="0"/>
            <wp:positionH relativeFrom="column">
              <wp:posOffset>-571501</wp:posOffset>
            </wp:positionH>
            <wp:positionV relativeFrom="paragraph">
              <wp:posOffset>46355</wp:posOffset>
            </wp:positionV>
            <wp:extent cx="6706657" cy="5029200"/>
            <wp:effectExtent l="0" t="0" r="0" b="0"/>
            <wp:wrapNone/>
            <wp:docPr id="1" name="Picture 1" descr="http://www.thinkib.net/files/visualarts/images/student%20work/marlboro/2012/emily/IMG_4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ib.net/files/visualarts/images/student%20work/marlboro/2012/emily/IMG_40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6657"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61FB9" w14:textId="77777777" w:rsidR="0052408D" w:rsidRDefault="0052408D" w:rsidP="002358BC">
      <w:pPr>
        <w:spacing w:before="300" w:after="150" w:line="600" w:lineRule="atLeast"/>
        <w:outlineLvl w:val="2"/>
        <w:rPr>
          <w:rFonts w:ascii="Trebuchet MS" w:eastAsia="Times New Roman" w:hAnsi="Trebuchet MS" w:cs="Times New Roman"/>
          <w:b/>
          <w:bCs/>
          <w:sz w:val="28"/>
          <w:szCs w:val="28"/>
        </w:rPr>
      </w:pPr>
    </w:p>
    <w:p w14:paraId="63DBC1AA" w14:textId="77777777" w:rsidR="0052408D" w:rsidRDefault="0052408D" w:rsidP="002358BC">
      <w:pPr>
        <w:spacing w:before="300" w:after="150" w:line="600" w:lineRule="atLeast"/>
        <w:outlineLvl w:val="2"/>
        <w:rPr>
          <w:rFonts w:ascii="Trebuchet MS" w:eastAsia="Times New Roman" w:hAnsi="Trebuchet MS" w:cs="Times New Roman"/>
          <w:b/>
          <w:bCs/>
          <w:sz w:val="28"/>
          <w:szCs w:val="28"/>
        </w:rPr>
      </w:pPr>
    </w:p>
    <w:p w14:paraId="00A18AAD" w14:textId="77777777" w:rsidR="0052408D" w:rsidRDefault="0052408D" w:rsidP="002358BC">
      <w:pPr>
        <w:spacing w:before="300" w:after="150" w:line="600" w:lineRule="atLeast"/>
        <w:outlineLvl w:val="2"/>
        <w:rPr>
          <w:rFonts w:ascii="Trebuchet MS" w:eastAsia="Times New Roman" w:hAnsi="Trebuchet MS" w:cs="Times New Roman"/>
          <w:b/>
          <w:bCs/>
          <w:sz w:val="28"/>
          <w:szCs w:val="28"/>
        </w:rPr>
      </w:pPr>
    </w:p>
    <w:p w14:paraId="5051C23F" w14:textId="77777777" w:rsidR="0052408D" w:rsidRDefault="0052408D" w:rsidP="002358BC">
      <w:pPr>
        <w:spacing w:before="300" w:after="150" w:line="600" w:lineRule="atLeast"/>
        <w:outlineLvl w:val="2"/>
        <w:rPr>
          <w:rFonts w:ascii="Trebuchet MS" w:eastAsia="Times New Roman" w:hAnsi="Trebuchet MS" w:cs="Times New Roman"/>
          <w:b/>
          <w:bCs/>
          <w:sz w:val="28"/>
          <w:szCs w:val="28"/>
        </w:rPr>
      </w:pPr>
    </w:p>
    <w:p w14:paraId="6B95DBF4" w14:textId="77777777" w:rsidR="0052408D" w:rsidRDefault="0052408D" w:rsidP="002358BC">
      <w:pPr>
        <w:spacing w:before="300" w:after="150" w:line="600" w:lineRule="atLeast"/>
        <w:outlineLvl w:val="2"/>
        <w:rPr>
          <w:rFonts w:ascii="Trebuchet MS" w:eastAsia="Times New Roman" w:hAnsi="Trebuchet MS" w:cs="Times New Roman"/>
          <w:b/>
          <w:bCs/>
          <w:sz w:val="28"/>
          <w:szCs w:val="28"/>
        </w:rPr>
      </w:pPr>
    </w:p>
    <w:p w14:paraId="6F24089D" w14:textId="77777777" w:rsidR="0052408D" w:rsidRDefault="0052408D" w:rsidP="002358BC">
      <w:pPr>
        <w:spacing w:before="300" w:after="150" w:line="600" w:lineRule="atLeast"/>
        <w:outlineLvl w:val="2"/>
        <w:rPr>
          <w:rFonts w:ascii="Trebuchet MS" w:eastAsia="Times New Roman" w:hAnsi="Trebuchet MS" w:cs="Times New Roman"/>
          <w:b/>
          <w:bCs/>
          <w:sz w:val="28"/>
          <w:szCs w:val="28"/>
        </w:rPr>
      </w:pPr>
    </w:p>
    <w:p w14:paraId="546B5B4E" w14:textId="77777777" w:rsidR="0052408D" w:rsidRDefault="0052408D" w:rsidP="002358BC">
      <w:pPr>
        <w:spacing w:before="300" w:after="150" w:line="600" w:lineRule="atLeast"/>
        <w:outlineLvl w:val="2"/>
        <w:rPr>
          <w:rFonts w:ascii="Trebuchet MS" w:eastAsia="Times New Roman" w:hAnsi="Trebuchet MS" w:cs="Times New Roman"/>
          <w:b/>
          <w:bCs/>
          <w:sz w:val="28"/>
          <w:szCs w:val="28"/>
        </w:rPr>
      </w:pPr>
    </w:p>
    <w:p w14:paraId="359AAB4F" w14:textId="77777777" w:rsidR="0052408D" w:rsidRDefault="0052408D" w:rsidP="002358BC">
      <w:pPr>
        <w:spacing w:before="300" w:after="150" w:line="600" w:lineRule="atLeast"/>
        <w:outlineLvl w:val="2"/>
        <w:rPr>
          <w:rFonts w:ascii="Trebuchet MS" w:eastAsia="Times New Roman" w:hAnsi="Trebuchet MS" w:cs="Times New Roman"/>
          <w:b/>
          <w:bCs/>
          <w:sz w:val="28"/>
          <w:szCs w:val="28"/>
        </w:rPr>
      </w:pPr>
    </w:p>
    <w:p w14:paraId="09AAC5BA" w14:textId="77777777" w:rsidR="002358BC" w:rsidRPr="002358BC" w:rsidRDefault="002358BC" w:rsidP="002358BC">
      <w:pPr>
        <w:spacing w:before="300" w:after="150" w:line="600" w:lineRule="atLeast"/>
        <w:outlineLvl w:val="2"/>
        <w:rPr>
          <w:rFonts w:ascii="Trebuchet MS" w:eastAsia="Times New Roman" w:hAnsi="Trebuchet MS" w:cs="Times New Roman"/>
          <w:b/>
          <w:bCs/>
          <w:sz w:val="28"/>
          <w:szCs w:val="28"/>
        </w:rPr>
      </w:pPr>
      <w:r w:rsidRPr="002358BC">
        <w:rPr>
          <w:rFonts w:ascii="Trebuchet MS" w:eastAsia="Times New Roman" w:hAnsi="Trebuchet MS" w:cs="Times New Roman"/>
          <w:b/>
          <w:bCs/>
          <w:sz w:val="28"/>
          <w:szCs w:val="28"/>
        </w:rPr>
        <w:lastRenderedPageBreak/>
        <w:t>Selecting work for the Exhibition</w:t>
      </w:r>
    </w:p>
    <w:p w14:paraId="777023BE" w14:textId="77777777" w:rsidR="002358BC" w:rsidRPr="002358BC" w:rsidRDefault="002358BC" w:rsidP="002358BC">
      <w:pPr>
        <w:spacing w:after="150"/>
        <w:rPr>
          <w:rFonts w:ascii="Times" w:hAnsi="Times" w:cs="Times New Roman"/>
          <w:sz w:val="20"/>
          <w:szCs w:val="20"/>
        </w:rPr>
      </w:pPr>
      <w:r w:rsidRPr="002358BC">
        <w:rPr>
          <w:rFonts w:ascii="Times" w:hAnsi="Times" w:cs="Times New Roman"/>
          <w:b/>
          <w:bCs/>
          <w:sz w:val="20"/>
          <w:szCs w:val="20"/>
        </w:rPr>
        <w:t xml:space="preserve">Choose the strongest, most resolved </w:t>
      </w:r>
      <w:proofErr w:type="gramStart"/>
      <w:r w:rsidRPr="002358BC">
        <w:rPr>
          <w:rFonts w:ascii="Times" w:hAnsi="Times" w:cs="Times New Roman"/>
          <w:b/>
          <w:bCs/>
          <w:sz w:val="20"/>
          <w:szCs w:val="20"/>
        </w:rPr>
        <w:t>artworks which</w:t>
      </w:r>
      <w:proofErr w:type="gramEnd"/>
      <w:r w:rsidRPr="002358BC">
        <w:rPr>
          <w:rFonts w:ascii="Times" w:hAnsi="Times" w:cs="Times New Roman"/>
          <w:b/>
          <w:bCs/>
          <w:sz w:val="20"/>
          <w:szCs w:val="20"/>
        </w:rPr>
        <w:t xml:space="preserve"> show these qualities</w:t>
      </w:r>
    </w:p>
    <w:p w14:paraId="2418328D"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 xml:space="preserve">• </w:t>
      </w:r>
      <w:proofErr w:type="gramStart"/>
      <w:r w:rsidRPr="002358BC">
        <w:rPr>
          <w:rFonts w:ascii="Times" w:hAnsi="Times" w:cs="Times New Roman"/>
          <w:sz w:val="20"/>
          <w:szCs w:val="20"/>
        </w:rPr>
        <w:t>technical</w:t>
      </w:r>
      <w:proofErr w:type="gramEnd"/>
      <w:r w:rsidRPr="002358BC">
        <w:rPr>
          <w:rFonts w:ascii="Times" w:hAnsi="Times" w:cs="Times New Roman"/>
          <w:sz w:val="20"/>
          <w:szCs w:val="20"/>
        </w:rPr>
        <w:t xml:space="preserve"> competence</w:t>
      </w:r>
    </w:p>
    <w:p w14:paraId="4F580EE2"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 xml:space="preserve">• </w:t>
      </w:r>
      <w:proofErr w:type="gramStart"/>
      <w:r w:rsidRPr="002358BC">
        <w:rPr>
          <w:rFonts w:ascii="Times" w:hAnsi="Times" w:cs="Times New Roman"/>
          <w:sz w:val="20"/>
          <w:szCs w:val="20"/>
        </w:rPr>
        <w:t>appropriate</w:t>
      </w:r>
      <w:proofErr w:type="gramEnd"/>
      <w:r w:rsidRPr="002358BC">
        <w:rPr>
          <w:rFonts w:ascii="Times" w:hAnsi="Times" w:cs="Times New Roman"/>
          <w:sz w:val="20"/>
          <w:szCs w:val="20"/>
        </w:rPr>
        <w:t xml:space="preserve"> use of materials, techniques, processes</w:t>
      </w:r>
    </w:p>
    <w:p w14:paraId="003FCEC5"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 xml:space="preserve">• </w:t>
      </w:r>
      <w:proofErr w:type="gramStart"/>
      <w:r w:rsidRPr="002358BC">
        <w:rPr>
          <w:rFonts w:ascii="Times" w:hAnsi="Times" w:cs="Times New Roman"/>
          <w:sz w:val="20"/>
          <w:szCs w:val="20"/>
        </w:rPr>
        <w:t>work</w:t>
      </w:r>
      <w:proofErr w:type="gramEnd"/>
      <w:r w:rsidRPr="002358BC">
        <w:rPr>
          <w:rFonts w:ascii="Times" w:hAnsi="Times" w:cs="Times New Roman"/>
          <w:sz w:val="20"/>
          <w:szCs w:val="20"/>
        </w:rPr>
        <w:t xml:space="preserve"> which communicates the stated intentions</w:t>
      </w:r>
    </w:p>
    <w:p w14:paraId="2AEC06CD"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 xml:space="preserve">• </w:t>
      </w:r>
      <w:proofErr w:type="gramStart"/>
      <w:r w:rsidRPr="002358BC">
        <w:rPr>
          <w:rFonts w:ascii="Times" w:hAnsi="Times" w:cs="Times New Roman"/>
          <w:sz w:val="20"/>
          <w:szCs w:val="20"/>
        </w:rPr>
        <w:t>cohesiveness</w:t>
      </w:r>
      <w:proofErr w:type="gramEnd"/>
      <w:r w:rsidRPr="002358BC">
        <w:rPr>
          <w:rFonts w:ascii="Times" w:hAnsi="Times" w:cs="Times New Roman"/>
          <w:sz w:val="20"/>
          <w:szCs w:val="20"/>
        </w:rPr>
        <w:t>, unity among the works</w:t>
      </w:r>
    </w:p>
    <w:p w14:paraId="3BCDB8E5"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 xml:space="preserve">• </w:t>
      </w:r>
      <w:proofErr w:type="gramStart"/>
      <w:r w:rsidRPr="002358BC">
        <w:rPr>
          <w:rFonts w:ascii="Times" w:hAnsi="Times" w:cs="Times New Roman"/>
          <w:sz w:val="20"/>
          <w:szCs w:val="20"/>
        </w:rPr>
        <w:t>breadth</w:t>
      </w:r>
      <w:proofErr w:type="gramEnd"/>
      <w:r w:rsidRPr="002358BC">
        <w:rPr>
          <w:rFonts w:ascii="Times" w:hAnsi="Times" w:cs="Times New Roman"/>
          <w:sz w:val="20"/>
          <w:szCs w:val="20"/>
        </w:rPr>
        <w:t xml:space="preserve"> and depth</w:t>
      </w:r>
    </w:p>
    <w:p w14:paraId="5E3B09EC" w14:textId="77777777" w:rsidR="002358BC" w:rsidRPr="002358BC" w:rsidRDefault="002358BC" w:rsidP="002358BC">
      <w:pPr>
        <w:spacing w:after="150"/>
        <w:rPr>
          <w:rFonts w:ascii="Times" w:hAnsi="Times" w:cs="Times New Roman"/>
          <w:sz w:val="20"/>
          <w:szCs w:val="20"/>
        </w:rPr>
      </w:pPr>
      <w:bookmarkStart w:id="0" w:name="_GoBack"/>
      <w:r w:rsidRPr="002358BC">
        <w:rPr>
          <w:rFonts w:ascii="Times" w:hAnsi="Times" w:cs="Times New Roman"/>
          <w:sz w:val="20"/>
          <w:szCs w:val="20"/>
        </w:rPr>
        <w:t xml:space="preserve">• </w:t>
      </w:r>
      <w:proofErr w:type="gramStart"/>
      <w:r w:rsidRPr="002358BC">
        <w:rPr>
          <w:rFonts w:ascii="Times" w:hAnsi="Times" w:cs="Times New Roman"/>
          <w:sz w:val="20"/>
          <w:szCs w:val="20"/>
        </w:rPr>
        <w:t>consideration</w:t>
      </w:r>
      <w:proofErr w:type="gramEnd"/>
      <w:r w:rsidRPr="002358BC">
        <w:rPr>
          <w:rFonts w:ascii="Times" w:hAnsi="Times" w:cs="Times New Roman"/>
          <w:sz w:val="20"/>
          <w:szCs w:val="20"/>
        </w:rPr>
        <w:t xml:space="preserve"> for the overall experience of the viewer (through exhibition, display or presentation).</w:t>
      </w:r>
    </w:p>
    <w:bookmarkEnd w:id="0"/>
    <w:p w14:paraId="19F88FAF" w14:textId="77777777" w:rsidR="002358BC" w:rsidRPr="002358BC" w:rsidRDefault="002358BC" w:rsidP="002358BC">
      <w:pPr>
        <w:spacing w:after="150"/>
        <w:rPr>
          <w:rFonts w:ascii="Times" w:hAnsi="Times" w:cs="Times New Roman"/>
          <w:sz w:val="20"/>
          <w:szCs w:val="20"/>
        </w:rPr>
      </w:pPr>
      <w:r w:rsidRPr="002358BC">
        <w:rPr>
          <w:rFonts w:ascii="Times" w:hAnsi="Times" w:cs="Times New Roman"/>
          <w:color w:val="000080"/>
          <w:sz w:val="20"/>
          <w:szCs w:val="20"/>
        </w:rPr>
        <w:t>(</w:t>
      </w:r>
      <w:proofErr w:type="gramStart"/>
      <w:r w:rsidRPr="002358BC">
        <w:rPr>
          <w:rFonts w:ascii="Times" w:hAnsi="Times" w:cs="Times New Roman"/>
          <w:color w:val="000080"/>
          <w:sz w:val="20"/>
          <w:szCs w:val="20"/>
        </w:rPr>
        <w:t>note</w:t>
      </w:r>
      <w:proofErr w:type="gramEnd"/>
      <w:r w:rsidRPr="002358BC">
        <w:rPr>
          <w:rFonts w:ascii="Times" w:hAnsi="Times" w:cs="Times New Roman"/>
          <w:color w:val="000080"/>
          <w:sz w:val="20"/>
          <w:szCs w:val="20"/>
        </w:rPr>
        <w:t>: students can present work for the exhibition </w:t>
      </w:r>
      <w:r w:rsidRPr="002358BC">
        <w:rPr>
          <w:rFonts w:ascii="Times" w:hAnsi="Times" w:cs="Times New Roman"/>
          <w:i/>
          <w:iCs/>
          <w:color w:val="000080"/>
          <w:sz w:val="20"/>
          <w:szCs w:val="20"/>
        </w:rPr>
        <w:t>in any medium,</w:t>
      </w:r>
      <w:r w:rsidRPr="002358BC">
        <w:rPr>
          <w:rFonts w:ascii="Times" w:hAnsi="Times" w:cs="Times New Roman"/>
          <w:color w:val="000080"/>
          <w:sz w:val="20"/>
          <w:szCs w:val="20"/>
        </w:rPr>
        <w:t> having met the requirements for the Process Portfolio of working in a range of art making forms)</w:t>
      </w:r>
    </w:p>
    <w:p w14:paraId="6FACE418" w14:textId="77777777" w:rsidR="002358BC" w:rsidRPr="002358BC" w:rsidRDefault="002358BC" w:rsidP="002358BC">
      <w:pPr>
        <w:spacing w:before="300" w:after="300"/>
        <w:rPr>
          <w:rFonts w:ascii="Times" w:eastAsia="Times New Roman" w:hAnsi="Times" w:cs="Times New Roman"/>
          <w:sz w:val="20"/>
          <w:szCs w:val="20"/>
        </w:rPr>
      </w:pPr>
      <w:r w:rsidRPr="002358BC">
        <w:rPr>
          <w:rFonts w:ascii="Times" w:eastAsia="Times New Roman" w:hAnsi="Times" w:cs="Times New Roman"/>
          <w:sz w:val="20"/>
          <w:szCs w:val="20"/>
        </w:rPr>
        <w:pict w14:anchorId="447BC988">
          <v:rect id="_x0000_i1027" style="width:0;height:1.5pt" o:hralign="center" o:hrstd="t" o:hr="t" fillcolor="#aaa" stroked="f"/>
        </w:pict>
      </w:r>
    </w:p>
    <w:p w14:paraId="56B75D69" w14:textId="77777777" w:rsidR="002358BC" w:rsidRPr="002358BC" w:rsidRDefault="002358BC" w:rsidP="002358BC">
      <w:pPr>
        <w:shd w:val="clear" w:color="auto" w:fill="E5EBF0"/>
        <w:spacing w:line="300" w:lineRule="atLeast"/>
        <w:outlineLvl w:val="3"/>
        <w:rPr>
          <w:rFonts w:ascii="Trebuchet MS" w:eastAsia="Times New Roman" w:hAnsi="Trebuchet MS" w:cs="Times New Roman"/>
          <w:b/>
          <w:bCs/>
        </w:rPr>
      </w:pPr>
      <w:r w:rsidRPr="002358BC">
        <w:rPr>
          <w:rFonts w:ascii="Trebuchet MS" w:eastAsia="Times New Roman" w:hAnsi="Trebuchet MS" w:cs="Times New Roman"/>
          <w:b/>
          <w:bCs/>
        </w:rPr>
        <w:t>What are examiners looking for in the exhibition?</w:t>
      </w:r>
    </w:p>
    <w:p w14:paraId="5387662D" w14:textId="77777777" w:rsidR="002358BC" w:rsidRPr="002358BC" w:rsidRDefault="002358BC" w:rsidP="002358BC">
      <w:pPr>
        <w:shd w:val="clear" w:color="auto" w:fill="E5EBF0"/>
        <w:spacing w:after="150"/>
        <w:rPr>
          <w:rFonts w:ascii="Times" w:hAnsi="Times" w:cs="Times New Roman"/>
          <w:sz w:val="20"/>
          <w:szCs w:val="20"/>
        </w:rPr>
      </w:pPr>
      <w:proofErr w:type="gramStart"/>
      <w:r w:rsidRPr="002358BC">
        <w:rPr>
          <w:rFonts w:ascii="Times" w:hAnsi="Times" w:cs="Times New Roman"/>
          <w:sz w:val="20"/>
          <w:szCs w:val="20"/>
        </w:rPr>
        <w:t>technical</w:t>
      </w:r>
      <w:proofErr w:type="gramEnd"/>
      <w:r w:rsidRPr="002358BC">
        <w:rPr>
          <w:rFonts w:ascii="Times" w:hAnsi="Times" w:cs="Times New Roman"/>
          <w:sz w:val="20"/>
          <w:szCs w:val="20"/>
        </w:rPr>
        <w:t xml:space="preserve"> accomplishment</w:t>
      </w:r>
    </w:p>
    <w:p w14:paraId="0C67AECF" w14:textId="77777777" w:rsidR="002358BC" w:rsidRPr="002358BC" w:rsidRDefault="002358BC" w:rsidP="002358BC">
      <w:pPr>
        <w:shd w:val="clear" w:color="auto" w:fill="E5EBF0"/>
        <w:spacing w:after="150"/>
        <w:rPr>
          <w:rFonts w:ascii="Times" w:hAnsi="Times" w:cs="Times New Roman"/>
          <w:sz w:val="20"/>
          <w:szCs w:val="20"/>
        </w:rPr>
      </w:pPr>
      <w:proofErr w:type="gramStart"/>
      <w:r w:rsidRPr="002358BC">
        <w:rPr>
          <w:rFonts w:ascii="Times" w:hAnsi="Times" w:cs="Times New Roman"/>
          <w:sz w:val="20"/>
          <w:szCs w:val="20"/>
        </w:rPr>
        <w:t>conceptual</w:t>
      </w:r>
      <w:proofErr w:type="gramEnd"/>
      <w:r w:rsidRPr="002358BC">
        <w:rPr>
          <w:rFonts w:ascii="Times" w:hAnsi="Times" w:cs="Times New Roman"/>
          <w:sz w:val="20"/>
          <w:szCs w:val="20"/>
        </w:rPr>
        <w:t xml:space="preserve"> strength of the work</w:t>
      </w:r>
    </w:p>
    <w:p w14:paraId="00A9E23E" w14:textId="77777777" w:rsidR="002358BC" w:rsidRPr="002358BC" w:rsidRDefault="002358BC" w:rsidP="002358BC">
      <w:pPr>
        <w:shd w:val="clear" w:color="auto" w:fill="E5EBF0"/>
        <w:rPr>
          <w:rFonts w:ascii="Times" w:hAnsi="Times" w:cs="Times New Roman"/>
          <w:sz w:val="20"/>
          <w:szCs w:val="20"/>
        </w:rPr>
      </w:pPr>
      <w:proofErr w:type="gramStart"/>
      <w:r w:rsidRPr="002358BC">
        <w:rPr>
          <w:rFonts w:ascii="Times" w:hAnsi="Times" w:cs="Times New Roman"/>
          <w:sz w:val="20"/>
          <w:szCs w:val="20"/>
        </w:rPr>
        <w:t>resolution</w:t>
      </w:r>
      <w:proofErr w:type="gramEnd"/>
      <w:r w:rsidRPr="002358BC">
        <w:rPr>
          <w:rFonts w:ascii="Times" w:hAnsi="Times" w:cs="Times New Roman"/>
          <w:sz w:val="20"/>
          <w:szCs w:val="20"/>
        </w:rPr>
        <w:t xml:space="preserve"> or communication of the stated intentions about the work</w:t>
      </w:r>
    </w:p>
    <w:p w14:paraId="105909FE" w14:textId="77777777" w:rsidR="002358BC" w:rsidRPr="002358BC" w:rsidRDefault="002358BC" w:rsidP="002358BC">
      <w:pPr>
        <w:spacing w:before="300" w:after="150" w:line="600" w:lineRule="atLeast"/>
        <w:outlineLvl w:val="2"/>
        <w:rPr>
          <w:rFonts w:ascii="Trebuchet MS" w:eastAsia="Times New Roman" w:hAnsi="Trebuchet MS" w:cs="Times New Roman"/>
          <w:b/>
          <w:bCs/>
          <w:sz w:val="28"/>
          <w:szCs w:val="28"/>
        </w:rPr>
      </w:pPr>
      <w:r w:rsidRPr="002358BC">
        <w:rPr>
          <w:rFonts w:ascii="Trebuchet MS" w:eastAsia="Times New Roman" w:hAnsi="Trebuchet MS" w:cs="Times New Roman"/>
          <w:b/>
          <w:bCs/>
          <w:sz w:val="28"/>
          <w:szCs w:val="28"/>
        </w:rPr>
        <w:t>Other Requirements</w:t>
      </w:r>
    </w:p>
    <w:p w14:paraId="42E101DB" w14:textId="77777777" w:rsidR="002358BC" w:rsidRPr="002358BC" w:rsidRDefault="002358BC" w:rsidP="002358BC">
      <w:pPr>
        <w:spacing w:after="150"/>
        <w:rPr>
          <w:rFonts w:ascii="Times" w:hAnsi="Times" w:cs="Times New Roman"/>
          <w:sz w:val="20"/>
          <w:szCs w:val="20"/>
        </w:rPr>
      </w:pPr>
      <w:r w:rsidRPr="002358BC">
        <w:rPr>
          <w:rFonts w:ascii="Times" w:hAnsi="Times" w:cs="Times New Roman"/>
          <w:b/>
          <w:bCs/>
          <w:sz w:val="20"/>
          <w:szCs w:val="20"/>
        </w:rPr>
        <w:t>Exhibition Text</w:t>
      </w:r>
    </w:p>
    <w:p w14:paraId="4D1116D2"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For each piece included students write a brief exhibition text (a few lines</w:t>
      </w:r>
      <w:proofErr w:type="gramStart"/>
      <w:r w:rsidRPr="002358BC">
        <w:rPr>
          <w:rFonts w:ascii="Times" w:hAnsi="Times" w:cs="Times New Roman"/>
          <w:sz w:val="20"/>
          <w:szCs w:val="20"/>
        </w:rPr>
        <w:t>) which</w:t>
      </w:r>
      <w:proofErr w:type="gramEnd"/>
      <w:r w:rsidRPr="002358BC">
        <w:rPr>
          <w:rFonts w:ascii="Times" w:hAnsi="Times" w:cs="Times New Roman"/>
          <w:sz w:val="20"/>
          <w:szCs w:val="20"/>
        </w:rPr>
        <w:t xml:space="preserve"> states the title, medium, size and a brief outline of the original intentions.</w:t>
      </w:r>
    </w:p>
    <w:p w14:paraId="23A559CC" w14:textId="77777777" w:rsidR="002358BC" w:rsidRPr="002358BC" w:rsidRDefault="002358BC" w:rsidP="002358BC">
      <w:pPr>
        <w:spacing w:after="150"/>
        <w:rPr>
          <w:rFonts w:ascii="Times" w:hAnsi="Times" w:cs="Times New Roman"/>
          <w:sz w:val="20"/>
          <w:szCs w:val="20"/>
        </w:rPr>
      </w:pPr>
      <w:r w:rsidRPr="002358BC">
        <w:rPr>
          <w:rFonts w:ascii="Times" w:hAnsi="Times" w:cs="Times New Roman"/>
          <w:b/>
          <w:bCs/>
          <w:sz w:val="20"/>
          <w:szCs w:val="20"/>
        </w:rPr>
        <w:t>Exhibition Overview Photos</w:t>
      </w:r>
    </w:p>
    <w:p w14:paraId="1972A2FB"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Students may include two photographs of the overall exhibition. This is not for assessment purposes but to help the moderator (who won't see the actual exhibition) better understand the overall layout and experience.</w:t>
      </w:r>
    </w:p>
    <w:p w14:paraId="5DE32FAE" w14:textId="77777777" w:rsidR="002358BC" w:rsidRPr="002358BC" w:rsidRDefault="002358BC" w:rsidP="002358BC">
      <w:pPr>
        <w:spacing w:after="150"/>
        <w:rPr>
          <w:rFonts w:ascii="Times" w:hAnsi="Times" w:cs="Times New Roman"/>
          <w:sz w:val="20"/>
          <w:szCs w:val="20"/>
        </w:rPr>
      </w:pPr>
      <w:r w:rsidRPr="002358BC">
        <w:rPr>
          <w:rFonts w:ascii="Times" w:hAnsi="Times" w:cs="Times New Roman"/>
          <w:i/>
          <w:iCs/>
          <w:color w:val="000080"/>
          <w:sz w:val="20"/>
          <w:szCs w:val="20"/>
        </w:rPr>
        <w:t>(</w:t>
      </w:r>
      <w:proofErr w:type="gramStart"/>
      <w:r w:rsidRPr="002358BC">
        <w:rPr>
          <w:rFonts w:ascii="Times" w:hAnsi="Times" w:cs="Times New Roman"/>
          <w:i/>
          <w:iCs/>
          <w:color w:val="000080"/>
          <w:sz w:val="20"/>
          <w:szCs w:val="20"/>
        </w:rPr>
        <w:t>note</w:t>
      </w:r>
      <w:proofErr w:type="gramEnd"/>
      <w:r w:rsidRPr="002358BC">
        <w:rPr>
          <w:rFonts w:ascii="Times" w:hAnsi="Times" w:cs="Times New Roman"/>
          <w:i/>
          <w:iCs/>
          <w:color w:val="000080"/>
          <w:sz w:val="20"/>
          <w:szCs w:val="20"/>
        </w:rPr>
        <w:t>: only include the exhibition artworks submitted for assessment in the photos)</w:t>
      </w:r>
    </w:p>
    <w:p w14:paraId="6FA8FE66" w14:textId="77777777" w:rsidR="002358BC" w:rsidRPr="002358BC" w:rsidRDefault="002358BC" w:rsidP="002358BC">
      <w:pPr>
        <w:spacing w:after="150"/>
        <w:rPr>
          <w:rFonts w:ascii="Times" w:hAnsi="Times" w:cs="Times New Roman"/>
          <w:sz w:val="20"/>
          <w:szCs w:val="20"/>
        </w:rPr>
      </w:pPr>
      <w:r w:rsidRPr="002358BC">
        <w:rPr>
          <w:rFonts w:ascii="Times" w:hAnsi="Times" w:cs="Times New Roman"/>
          <w:b/>
          <w:bCs/>
          <w:sz w:val="20"/>
          <w:szCs w:val="20"/>
        </w:rPr>
        <w:t>Additional Supporting Photos</w:t>
      </w:r>
      <w:r w:rsidRPr="002358BC">
        <w:rPr>
          <w:rFonts w:ascii="Times" w:hAnsi="Times" w:cs="Times New Roman"/>
          <w:sz w:val="20"/>
          <w:szCs w:val="20"/>
        </w:rPr>
        <w:t> (optional)</w:t>
      </w:r>
    </w:p>
    <w:p w14:paraId="4134873D"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Students may choose to include up to two additional photographs of each submitted work. This is intended to provide a sense of scale when showing large works or for pieces that have more than one viewpoint, such as sculpture or installation. These extra photos are not necessary for most studio pieces.</w:t>
      </w:r>
    </w:p>
    <w:p w14:paraId="1735167D" w14:textId="77777777" w:rsidR="002358BC" w:rsidRPr="002358BC" w:rsidRDefault="002358BC" w:rsidP="002358BC">
      <w:pPr>
        <w:spacing w:after="150"/>
        <w:rPr>
          <w:rFonts w:ascii="Times" w:hAnsi="Times" w:cs="Times New Roman"/>
          <w:sz w:val="20"/>
          <w:szCs w:val="20"/>
        </w:rPr>
      </w:pPr>
      <w:r w:rsidRPr="002358BC">
        <w:rPr>
          <w:rFonts w:ascii="Times" w:hAnsi="Times" w:cs="Times New Roman"/>
          <w:b/>
          <w:bCs/>
          <w:sz w:val="20"/>
          <w:szCs w:val="20"/>
        </w:rPr>
        <w:t>The Curatorial Rationale</w:t>
      </w:r>
    </w:p>
    <w:p w14:paraId="6AAC7F64"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400 words max SL</w:t>
      </w:r>
    </w:p>
    <w:p w14:paraId="76A01231"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700 words max HL</w:t>
      </w:r>
    </w:p>
    <w:p w14:paraId="75E6CD18"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This is a written statement that accompanies the exhibition. The CR is not unlike the old candidate statement, but is longer, more in depth, and </w:t>
      </w:r>
      <w:r w:rsidRPr="002358BC">
        <w:rPr>
          <w:rFonts w:ascii="Times" w:hAnsi="Times" w:cs="Times New Roman"/>
          <w:i/>
          <w:iCs/>
          <w:sz w:val="20"/>
          <w:szCs w:val="20"/>
        </w:rPr>
        <w:t>specifically addresses the body of work chosen for the exhibition.</w:t>
      </w:r>
      <w:r w:rsidRPr="002358BC">
        <w:rPr>
          <w:rFonts w:ascii="Times" w:hAnsi="Times" w:cs="Times New Roman"/>
          <w:sz w:val="20"/>
          <w:szCs w:val="20"/>
        </w:rPr>
        <w:t> It explains the intentions of the student, considers the presentation the work using curatorial methodologies and the relationship with the viewer. Examples soon to follow! There will be a page dedicated to writing the CR, examples, etc.</w:t>
      </w:r>
    </w:p>
    <w:p w14:paraId="3257161E" w14:textId="77777777" w:rsidR="002358BC" w:rsidRPr="002358BC" w:rsidRDefault="002358BC" w:rsidP="002358BC">
      <w:pPr>
        <w:spacing w:after="150"/>
        <w:rPr>
          <w:rFonts w:ascii="Times" w:hAnsi="Times" w:cs="Times New Roman"/>
          <w:sz w:val="20"/>
          <w:szCs w:val="20"/>
        </w:rPr>
      </w:pPr>
      <w:r w:rsidRPr="002358BC">
        <w:rPr>
          <w:rFonts w:ascii="Times" w:hAnsi="Times" w:cs="Times New Roman"/>
          <w:b/>
          <w:bCs/>
          <w:sz w:val="20"/>
          <w:szCs w:val="20"/>
        </w:rPr>
        <w:t>The role of the Visual Arts Journal in the exhibition</w:t>
      </w:r>
    </w:p>
    <w:p w14:paraId="51F8553D" w14:textId="77777777" w:rsidR="002358BC" w:rsidRPr="002358BC" w:rsidRDefault="002358BC" w:rsidP="002358BC">
      <w:pPr>
        <w:spacing w:after="150"/>
        <w:rPr>
          <w:rFonts w:ascii="Times" w:hAnsi="Times" w:cs="Times New Roman"/>
          <w:sz w:val="20"/>
          <w:szCs w:val="20"/>
        </w:rPr>
      </w:pPr>
      <w:r>
        <w:rPr>
          <w:rFonts w:ascii="Times" w:hAnsi="Times" w:cs="Times New Roman"/>
          <w:noProof/>
          <w:sz w:val="20"/>
          <w:szCs w:val="20"/>
        </w:rPr>
        <w:drawing>
          <wp:inline distT="0" distB="0" distL="0" distR="0" wp14:anchorId="5BEF35C1" wp14:editId="02EE14AB">
            <wp:extent cx="3811905" cy="2763520"/>
            <wp:effectExtent l="0" t="0" r="0" b="5080"/>
            <wp:docPr id="4" name="Picture 4" descr="http://www.thinkib.net/files/visualarts/images/student%20work/isf/edward%20thompson/Untitle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inkib.net/files/visualarts/images/student%20work/isf/edward%20thompson/Untitled-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2763520"/>
                    </a:xfrm>
                    <a:prstGeom prst="rect">
                      <a:avLst/>
                    </a:prstGeom>
                    <a:noFill/>
                    <a:ln>
                      <a:noFill/>
                    </a:ln>
                  </pic:spPr>
                </pic:pic>
              </a:graphicData>
            </a:graphic>
          </wp:inline>
        </w:drawing>
      </w:r>
      <w:r w:rsidRPr="002358BC">
        <w:rPr>
          <w:rFonts w:ascii="Times" w:hAnsi="Times" w:cs="Times New Roman"/>
          <w:sz w:val="20"/>
          <w:szCs w:val="20"/>
        </w:rPr>
        <w:t>Throughout the course students can use their visual arts journal to make notes of and reflect on their intentions while making their work, and they can be encouraged to document the developments of this thought process.</w:t>
      </w:r>
    </w:p>
    <w:p w14:paraId="3EEAE4EB"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For the Curatorial Rationale students can make selections from and adapt passages from their journal.</w:t>
      </w:r>
    </w:p>
    <w:p w14:paraId="545CEA74" w14:textId="77777777" w:rsidR="002358BC" w:rsidRPr="002358BC" w:rsidRDefault="002358BC" w:rsidP="002358BC">
      <w:pPr>
        <w:spacing w:after="150"/>
        <w:rPr>
          <w:rFonts w:ascii="Times" w:hAnsi="Times" w:cs="Times New Roman"/>
          <w:sz w:val="20"/>
          <w:szCs w:val="20"/>
        </w:rPr>
      </w:pPr>
      <w:r w:rsidRPr="002358BC">
        <w:rPr>
          <w:rFonts w:ascii="Times" w:hAnsi="Times" w:cs="Times New Roman"/>
          <w:sz w:val="20"/>
          <w:szCs w:val="20"/>
        </w:rPr>
        <w:t>The Visual Journal can also be used to plan the exhibition, consider the space, the display, the sequencing, the viewers role, and other curatorial issues.</w:t>
      </w:r>
    </w:p>
    <w:p w14:paraId="0B9B513D" w14:textId="77777777" w:rsidR="002358BC" w:rsidRPr="002358BC" w:rsidRDefault="002358BC" w:rsidP="002358BC">
      <w:pPr>
        <w:spacing w:before="300" w:after="300"/>
        <w:rPr>
          <w:rFonts w:ascii="Times" w:eastAsia="Times New Roman" w:hAnsi="Times" w:cs="Times New Roman"/>
          <w:sz w:val="20"/>
          <w:szCs w:val="20"/>
        </w:rPr>
      </w:pPr>
      <w:r w:rsidRPr="002358BC">
        <w:rPr>
          <w:rFonts w:ascii="Times" w:eastAsia="Times New Roman" w:hAnsi="Times" w:cs="Times New Roman"/>
          <w:sz w:val="20"/>
          <w:szCs w:val="20"/>
        </w:rPr>
        <w:pict w14:anchorId="029B98A6">
          <v:rect id="_x0000_i1029" style="width:0;height:1.5pt" o:hralign="center" o:hrstd="t" o:hr="t" fillcolor="#aaa" stroked="f"/>
        </w:pict>
      </w:r>
    </w:p>
    <w:p w14:paraId="6088569E" w14:textId="77777777" w:rsidR="002358BC" w:rsidRPr="002358BC" w:rsidRDefault="002358BC" w:rsidP="002358BC">
      <w:pPr>
        <w:shd w:val="clear" w:color="auto" w:fill="F0F0F0"/>
        <w:rPr>
          <w:rFonts w:ascii="Times" w:hAnsi="Times" w:cs="Times New Roman"/>
          <w:sz w:val="20"/>
          <w:szCs w:val="20"/>
        </w:rPr>
      </w:pPr>
      <w:r w:rsidRPr="002358BC">
        <w:rPr>
          <w:rFonts w:ascii="Times" w:hAnsi="Times" w:cs="Times New Roman"/>
          <w:sz w:val="20"/>
          <w:szCs w:val="20"/>
        </w:rPr>
        <w:t>For the requirements regarding the number of pieces in the exhibition go to </w:t>
      </w:r>
      <w:hyperlink r:id="rId11" w:tooltip="Overview » New Visual Arts Curriculum » Assessment 2016 » Overview of Submission Requirements" w:history="1">
        <w:r w:rsidRPr="002358BC">
          <w:rPr>
            <w:rFonts w:ascii="Times" w:hAnsi="Times" w:cs="Times New Roman"/>
            <w:b/>
            <w:bCs/>
            <w:color w:val="1A457A"/>
            <w:sz w:val="20"/>
            <w:szCs w:val="20"/>
            <w:u w:val="single"/>
          </w:rPr>
          <w:t>Overview of Submission Requirements</w:t>
        </w:r>
      </w:hyperlink>
      <w:r w:rsidRPr="002358BC">
        <w:rPr>
          <w:rFonts w:ascii="Times" w:hAnsi="Times" w:cs="Times New Roman"/>
          <w:sz w:val="20"/>
          <w:szCs w:val="20"/>
        </w:rPr>
        <w:t> and for the full assessment criteria go to </w:t>
      </w:r>
      <w:hyperlink r:id="rId12" w:tooltip="Overview » New Visual Arts Curriculum » Assessment 2016 » Exhibition Assessment Criteria" w:history="1">
        <w:r w:rsidRPr="002358BC">
          <w:rPr>
            <w:rFonts w:ascii="Times" w:hAnsi="Times" w:cs="Times New Roman"/>
            <w:b/>
            <w:bCs/>
            <w:color w:val="1A457A"/>
            <w:sz w:val="20"/>
            <w:szCs w:val="20"/>
            <w:u w:val="single"/>
          </w:rPr>
          <w:t>Exhibition Assessment Criteria</w:t>
        </w:r>
      </w:hyperlink>
    </w:p>
    <w:p w14:paraId="696FD3D9" w14:textId="77777777" w:rsidR="002358BC" w:rsidRPr="002358BC" w:rsidRDefault="002358BC" w:rsidP="002358BC">
      <w:pPr>
        <w:rPr>
          <w:rFonts w:ascii="Times" w:eastAsia="Times New Roman" w:hAnsi="Times" w:cs="Times New Roman"/>
          <w:sz w:val="20"/>
          <w:szCs w:val="20"/>
        </w:rPr>
      </w:pPr>
    </w:p>
    <w:p w14:paraId="021F0D9E" w14:textId="77777777" w:rsidR="00D51AEC" w:rsidRDefault="00D51AEC"/>
    <w:sectPr w:rsidR="00D51AEC" w:rsidSect="002358BC">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34FF"/>
    <w:multiLevelType w:val="multilevel"/>
    <w:tmpl w:val="BB1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BC"/>
    <w:rsid w:val="002358BC"/>
    <w:rsid w:val="0052408D"/>
    <w:rsid w:val="00D5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B6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8B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358B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358B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BC"/>
    <w:rPr>
      <w:rFonts w:ascii="Times" w:hAnsi="Times"/>
      <w:b/>
      <w:bCs/>
      <w:kern w:val="36"/>
      <w:sz w:val="48"/>
      <w:szCs w:val="48"/>
    </w:rPr>
  </w:style>
  <w:style w:type="character" w:customStyle="1" w:styleId="Heading3Char">
    <w:name w:val="Heading 3 Char"/>
    <w:basedOn w:val="DefaultParagraphFont"/>
    <w:link w:val="Heading3"/>
    <w:uiPriority w:val="9"/>
    <w:rsid w:val="002358BC"/>
    <w:rPr>
      <w:rFonts w:ascii="Times" w:hAnsi="Times"/>
      <w:b/>
      <w:bCs/>
      <w:sz w:val="27"/>
      <w:szCs w:val="27"/>
    </w:rPr>
  </w:style>
  <w:style w:type="character" w:customStyle="1" w:styleId="Heading4Char">
    <w:name w:val="Heading 4 Char"/>
    <w:basedOn w:val="DefaultParagraphFont"/>
    <w:link w:val="Heading4"/>
    <w:uiPriority w:val="9"/>
    <w:rsid w:val="002358BC"/>
    <w:rPr>
      <w:rFonts w:ascii="Times" w:hAnsi="Times"/>
      <w:b/>
      <w:bCs/>
    </w:rPr>
  </w:style>
  <w:style w:type="character" w:styleId="Hyperlink">
    <w:name w:val="Hyperlink"/>
    <w:basedOn w:val="DefaultParagraphFont"/>
    <w:uiPriority w:val="99"/>
    <w:unhideWhenUsed/>
    <w:rsid w:val="002358BC"/>
    <w:rPr>
      <w:color w:val="0000FF"/>
      <w:u w:val="single"/>
    </w:rPr>
  </w:style>
  <w:style w:type="character" w:customStyle="1" w:styleId="apple-converted-space">
    <w:name w:val="apple-converted-space"/>
    <w:basedOn w:val="DefaultParagraphFont"/>
    <w:rsid w:val="002358BC"/>
  </w:style>
  <w:style w:type="character" w:customStyle="1" w:styleId="active">
    <w:name w:val="active"/>
    <w:basedOn w:val="DefaultParagraphFont"/>
    <w:rsid w:val="002358BC"/>
  </w:style>
  <w:style w:type="paragraph" w:styleId="NormalWeb">
    <w:name w:val="Normal (Web)"/>
    <w:basedOn w:val="Normal"/>
    <w:uiPriority w:val="99"/>
    <w:semiHidden/>
    <w:unhideWhenUsed/>
    <w:rsid w:val="002358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358BC"/>
    <w:rPr>
      <w:b/>
      <w:bCs/>
    </w:rPr>
  </w:style>
  <w:style w:type="character" w:styleId="Emphasis">
    <w:name w:val="Emphasis"/>
    <w:basedOn w:val="DefaultParagraphFont"/>
    <w:uiPriority w:val="20"/>
    <w:qFormat/>
    <w:rsid w:val="002358BC"/>
    <w:rPr>
      <w:i/>
      <w:iCs/>
    </w:rPr>
  </w:style>
  <w:style w:type="paragraph" w:styleId="BalloonText">
    <w:name w:val="Balloon Text"/>
    <w:basedOn w:val="Normal"/>
    <w:link w:val="BalloonTextChar"/>
    <w:uiPriority w:val="99"/>
    <w:semiHidden/>
    <w:unhideWhenUsed/>
    <w:rsid w:val="002358BC"/>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8BC"/>
    <w:rPr>
      <w:rFonts w:ascii="Lucida Grande" w:hAnsi="Lucida Grande"/>
      <w:sz w:val="18"/>
      <w:szCs w:val="18"/>
    </w:rPr>
  </w:style>
  <w:style w:type="character" w:styleId="FollowedHyperlink">
    <w:name w:val="FollowedHyperlink"/>
    <w:basedOn w:val="DefaultParagraphFont"/>
    <w:uiPriority w:val="99"/>
    <w:semiHidden/>
    <w:unhideWhenUsed/>
    <w:rsid w:val="002358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8B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358B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358B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BC"/>
    <w:rPr>
      <w:rFonts w:ascii="Times" w:hAnsi="Times"/>
      <w:b/>
      <w:bCs/>
      <w:kern w:val="36"/>
      <w:sz w:val="48"/>
      <w:szCs w:val="48"/>
    </w:rPr>
  </w:style>
  <w:style w:type="character" w:customStyle="1" w:styleId="Heading3Char">
    <w:name w:val="Heading 3 Char"/>
    <w:basedOn w:val="DefaultParagraphFont"/>
    <w:link w:val="Heading3"/>
    <w:uiPriority w:val="9"/>
    <w:rsid w:val="002358BC"/>
    <w:rPr>
      <w:rFonts w:ascii="Times" w:hAnsi="Times"/>
      <w:b/>
      <w:bCs/>
      <w:sz w:val="27"/>
      <w:szCs w:val="27"/>
    </w:rPr>
  </w:style>
  <w:style w:type="character" w:customStyle="1" w:styleId="Heading4Char">
    <w:name w:val="Heading 4 Char"/>
    <w:basedOn w:val="DefaultParagraphFont"/>
    <w:link w:val="Heading4"/>
    <w:uiPriority w:val="9"/>
    <w:rsid w:val="002358BC"/>
    <w:rPr>
      <w:rFonts w:ascii="Times" w:hAnsi="Times"/>
      <w:b/>
      <w:bCs/>
    </w:rPr>
  </w:style>
  <w:style w:type="character" w:styleId="Hyperlink">
    <w:name w:val="Hyperlink"/>
    <w:basedOn w:val="DefaultParagraphFont"/>
    <w:uiPriority w:val="99"/>
    <w:unhideWhenUsed/>
    <w:rsid w:val="002358BC"/>
    <w:rPr>
      <w:color w:val="0000FF"/>
      <w:u w:val="single"/>
    </w:rPr>
  </w:style>
  <w:style w:type="character" w:customStyle="1" w:styleId="apple-converted-space">
    <w:name w:val="apple-converted-space"/>
    <w:basedOn w:val="DefaultParagraphFont"/>
    <w:rsid w:val="002358BC"/>
  </w:style>
  <w:style w:type="character" w:customStyle="1" w:styleId="active">
    <w:name w:val="active"/>
    <w:basedOn w:val="DefaultParagraphFont"/>
    <w:rsid w:val="002358BC"/>
  </w:style>
  <w:style w:type="paragraph" w:styleId="NormalWeb">
    <w:name w:val="Normal (Web)"/>
    <w:basedOn w:val="Normal"/>
    <w:uiPriority w:val="99"/>
    <w:semiHidden/>
    <w:unhideWhenUsed/>
    <w:rsid w:val="002358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358BC"/>
    <w:rPr>
      <w:b/>
      <w:bCs/>
    </w:rPr>
  </w:style>
  <w:style w:type="character" w:styleId="Emphasis">
    <w:name w:val="Emphasis"/>
    <w:basedOn w:val="DefaultParagraphFont"/>
    <w:uiPriority w:val="20"/>
    <w:qFormat/>
    <w:rsid w:val="002358BC"/>
    <w:rPr>
      <w:i/>
      <w:iCs/>
    </w:rPr>
  </w:style>
  <w:style w:type="paragraph" w:styleId="BalloonText">
    <w:name w:val="Balloon Text"/>
    <w:basedOn w:val="Normal"/>
    <w:link w:val="BalloonTextChar"/>
    <w:uiPriority w:val="99"/>
    <w:semiHidden/>
    <w:unhideWhenUsed/>
    <w:rsid w:val="002358BC"/>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8BC"/>
    <w:rPr>
      <w:rFonts w:ascii="Lucida Grande" w:hAnsi="Lucida Grande"/>
      <w:sz w:val="18"/>
      <w:szCs w:val="18"/>
    </w:rPr>
  </w:style>
  <w:style w:type="character" w:styleId="FollowedHyperlink">
    <w:name w:val="FollowedHyperlink"/>
    <w:basedOn w:val="DefaultParagraphFont"/>
    <w:uiPriority w:val="99"/>
    <w:semiHidden/>
    <w:unhideWhenUsed/>
    <w:rsid w:val="00235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156">
      <w:bodyDiv w:val="1"/>
      <w:marLeft w:val="0"/>
      <w:marRight w:val="0"/>
      <w:marTop w:val="0"/>
      <w:marBottom w:val="0"/>
      <w:divBdr>
        <w:top w:val="none" w:sz="0" w:space="0" w:color="auto"/>
        <w:left w:val="none" w:sz="0" w:space="0" w:color="auto"/>
        <w:bottom w:val="none" w:sz="0" w:space="0" w:color="auto"/>
        <w:right w:val="none" w:sz="0" w:space="0" w:color="auto"/>
      </w:divBdr>
      <w:divsChild>
        <w:div w:id="534080534">
          <w:marLeft w:val="0"/>
          <w:marRight w:val="0"/>
          <w:marTop w:val="0"/>
          <w:marBottom w:val="0"/>
          <w:divBdr>
            <w:top w:val="none" w:sz="0" w:space="0" w:color="auto"/>
            <w:left w:val="none" w:sz="0" w:space="0" w:color="auto"/>
            <w:bottom w:val="none" w:sz="0" w:space="0" w:color="auto"/>
            <w:right w:val="none" w:sz="0" w:space="0" w:color="auto"/>
          </w:divBdr>
          <w:divsChild>
            <w:div w:id="434256485">
              <w:marLeft w:val="120"/>
              <w:marRight w:val="120"/>
              <w:marTop w:val="480"/>
              <w:marBottom w:val="480"/>
              <w:divBdr>
                <w:top w:val="none" w:sz="0" w:space="12" w:color="7B9BA5"/>
                <w:left w:val="none" w:sz="0" w:space="12" w:color="7B9BA5"/>
                <w:bottom w:val="none" w:sz="0" w:space="12" w:color="7B9BA5"/>
                <w:right w:val="none" w:sz="0" w:space="12" w:color="7B9BA5"/>
              </w:divBdr>
            </w:div>
            <w:div w:id="1142305681">
              <w:blockQuote w:val="1"/>
              <w:marLeft w:val="480"/>
              <w:marRight w:val="480"/>
              <w:marTop w:val="480"/>
              <w:marBottom w:val="480"/>
              <w:divBdr>
                <w:top w:val="none" w:sz="0" w:space="0" w:color="auto"/>
                <w:left w:val="none" w:sz="0" w:space="0" w:color="auto"/>
                <w:bottom w:val="none" w:sz="0" w:space="0" w:color="auto"/>
                <w:right w:val="none" w:sz="0" w:space="0" w:color="auto"/>
              </w:divBdr>
            </w:div>
            <w:div w:id="1638995605">
              <w:marLeft w:val="120"/>
              <w:marRight w:val="120"/>
              <w:marTop w:val="480"/>
              <w:marBottom w:val="480"/>
              <w:divBdr>
                <w:top w:val="none" w:sz="0" w:space="12" w:color="7B9BA5"/>
                <w:left w:val="none" w:sz="0" w:space="12" w:color="7B9BA5"/>
                <w:bottom w:val="none" w:sz="0" w:space="12" w:color="7B9BA5"/>
                <w:right w:val="none" w:sz="0" w:space="12" w:color="7B9BA5"/>
              </w:divBdr>
            </w:div>
            <w:div w:id="1408914058">
              <w:marLeft w:val="120"/>
              <w:marRight w:val="120"/>
              <w:marTop w:val="480"/>
              <w:marBottom w:val="480"/>
              <w:divBdr>
                <w:top w:val="none" w:sz="0" w:space="12" w:color="AAAAAA"/>
                <w:left w:val="none" w:sz="0" w:space="12" w:color="AAAAAA"/>
                <w:bottom w:val="none" w:sz="0" w:space="12" w:color="AAAAAA"/>
                <w:right w:val="none" w:sz="0" w:space="12" w:color="AAAAAA"/>
              </w:divBdr>
            </w:div>
          </w:divsChild>
        </w:div>
        <w:div w:id="1090353442">
          <w:marLeft w:val="0"/>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inkib.net/visualarts/page/17800/overview-of-submission-requirements" TargetMode="External"/><Relationship Id="rId12" Type="http://schemas.openxmlformats.org/officeDocument/2006/relationships/hyperlink" Target="http://www.thinkib.net/visualarts/page/18060/exhibition-assessment-criteri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inkib.net/visualarts/page/8237/overview" TargetMode="External"/><Relationship Id="rId7" Type="http://schemas.openxmlformats.org/officeDocument/2006/relationships/hyperlink" Target="http://www.thinkib.net/visualarts/page/15884/new-visual-arts-curriculum-" TargetMode="External"/><Relationship Id="rId8" Type="http://schemas.openxmlformats.org/officeDocument/2006/relationships/hyperlink" Target="http://www.thinkib.net/visualarts/page/16175/the-3-course-components"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3639</Characters>
  <Application>Microsoft Macintosh Word</Application>
  <DocSecurity>0</DocSecurity>
  <Lines>30</Lines>
  <Paragraphs>8</Paragraphs>
  <ScaleCrop>false</ScaleCrop>
  <Company>Bowling Green State University</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Svonavec</dc:creator>
  <cp:keywords/>
  <dc:description/>
  <cp:lastModifiedBy>Shelly Svonavec</cp:lastModifiedBy>
  <cp:revision>2</cp:revision>
  <dcterms:created xsi:type="dcterms:W3CDTF">2015-07-27T17:56:00Z</dcterms:created>
  <dcterms:modified xsi:type="dcterms:W3CDTF">2015-07-27T17:59:00Z</dcterms:modified>
</cp:coreProperties>
</file>